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7</w:t>
      </w:r>
    </w:p>
    <w:p>
      <w:r>
        <w:t>Bundesgericht (BGE), 1971-01-26, FR</w:t>
      </w:r>
    </w:p>
    <w:p>
      <w:r>
        <w:rPr>
          <w:b/>
        </w:rPr>
        <w:t xml:space="preserve">Quelle: </w:t>
      </w:r>
      <w:r>
        <w:t>https://mcp.opencaselaw.ch/entscheid/bge_97 III 7</w:t>
      </w:r>
    </w:p>
    <w:p>
      <w:r>
        <w:t>FR: ATF 97 III 7</w:t>
      </w:r>
    </w:p>
    <w:p>
      <w:r>
        <w:t>IT: DTF 97 III 7</w:t>
      </w:r>
    </w:p>
    <w:p>
      <w:pPr>
        <w:pStyle w:val="Heading2"/>
      </w:pPr>
      <w:r>
        <w:t>Regeste</w:t>
      </w:r>
    </w:p>
    <w:p>
      <w:r>
        <w:t>Regeste Fiktion der Zustellung einer Gerichtsurkunde im Falle, dass der Adressat die in seinen Briefkasten gelegte Abholungseinladung nicht befolgt (Erw. 1). Eine Lohnpfändung, die offenkundig beträchtlich in das zum Leben Notwendige eingreift, ist von Amtes wegen aufzuheben (Erw. 2).</w:t>
      </w:r>
    </w:p>
    <w:p>
      <w:pPr>
        <w:pStyle w:val="Heading2"/>
      </w:pPr>
      <w:r>
        <w:t>Erwägungen</w:t>
      </w:r>
    </w:p>
    <w:p>
      <w:r>
        <w:rPr>
          <w:b/>
        </w:rPr>
        <w:t>E. 1</w:t>
      </w:r>
    </w:p>
    <w:p>
      <w:r>
        <w:t>Le délai de recours de dix jours prévu à l'art. 19 LP commence à courir dès la notification de la décision motivée de l'autorité cantonale de surveillance (art. 77 OJ). Les art. 75 ss. OJ, ni aucune autre disposition de ladite loi, n'indiquent la forme en laquelle une telle décision doit être notifiée. L'art. 4 de l'ordonnance du Tribunal fédéral du 3 novembre 1910 concernant la procédure de recours en matière de poursuite pour dettes et de faillite exigeait qu'elle le fût contre récépissé. Cette ordonnance a été abrogée par l'art. 169 OJ. Dès lors, les modalités de cette notification sont régies par le droit cantonal, sous réserve de certains points qui sont réglés par le droit fédéral. Il en est ainsi, notamment, des règles concernant les féries de poursuite (RO 96 III 49 consid. 3, 53 consid. 1) et des art. 64 à 66 LP qui peuvent être appliqués à titre supplétif, lorsque le droit cantonal ne contient aucune disposition sur les éventualités qui y sont visées (JAEGER, n. 1 à l'art. 64 LP, in fine). La notification d'une décision prise par l'autorité cantonale de surveillance à la suite d'une plainte fait d'ailleurs partie de la procédure de plainte, laquelle est soumise en principe au droit cantonal (RO 86 III 2). En revanche, la question de savoir à partir de quand on doit considérer que la notification d'une décision sujette à un recours devant le Tribunal fédéral a eu lieu relève du droit fédéral (RO 85 IV 116). BGE 97 III 7 S. 10 Selon la jurisprudence (RO 86 II 4/5, 82 II 167, 82 III 15 consid. 2, 78 I 129 consid. 1 in fine), celui qui durant un procès s'absente pour une longue durée de l'endroit où il a indiqué son adresse sans prendre la précaution de faire suivre sa correspondance ou d'aviser l'autorité de la nouvelle adresse où il peut être atteint doit admettre que la notification a été régulièrement faite à sa dernière adresse, si elle y a été tentée sans succès. De même, en cas de notification postale d'un acte judiciaire, par envoi recommandé avec accusé de réception, la notification est réputée avoir eu lieu le septième et dernier jour du délai de garde prévu aux art. 151 al. 1 et 157 de l'ordonnance d'exécution I de la loi fédérale sur le service des postes, du 1er septembre 1967, lorsque le destinataire de cet acte n'a pas donné suite à l'avis de retrait qui a été glissé dans sa boîte aux lettres (RO 91 II 151/152, 85 IV 116). Il suit de là qu'une partie court le risque de se voir opposer la notification régulière d'un acte judiciaire qu'elle n'a en réalité pas reçu, si elle s'absente pendant sept jours ou plus et omet de faire suivre sa correspondance ou d'indiquer à l'autorité l'adresse où une notification pourrait lui être faite. En l'espèce, le recourant n'a pas pris ce soin, bien qu'il fût absent jusqu'au 25 novembre 1970, de sorte que la décision attaquée, qui a été mise à la poste le 9 novembre, n'a pu lui être délivrée. D'autre part, rien ne permet de supposer que, lors de la deuxième notification, qui a été tentée le 27 novembre, le facteur ait omis de laisser un avis de retrait dans la boîte aux lettres du recourant. L'accusé de réception de cet envoi porte d'ailleurs la mention "délai 5 décembre". Or le recourant ne l'a pas retiré jusqu'au vendredi 4 décembre 1970, dernier et septième jour du délai de garde. Enfin, il importe peu que par une note du 7 décembre 1970, annexée à l'accusé de réception, l'office postal de Fribourg ait informé l'autorité cantonale que la nouvelle adresse de W. était: "Poste restante, 3000 Berne". L'art. 72 al. 1 de l'ordonnance d'exécution I précitée prévoit en effet que les envois recommandés désignés comme actes judiciaires ne peuvent être adressés poste restante. Cela étant, on doit considérer que la décision attaquée a été notifiée régulièrement au recourant, si ce n'est déjà lors de sa première communication, du moins le vendredi 4 décembre 1970. Mis à la poste le 10 janvier 1971, le présent recours n'a pas été déposé en temps utile. Il est donc irrecevable. BGE 97 III 7 S. 11</w:t>
      </w:r>
    </w:p>
    <w:p>
      <w:r>
        <w:rPr>
          <w:b/>
        </w:rPr>
        <w:t>E. 2</w:t>
      </w:r>
    </w:p>
    <w:p>
      <w:r>
        <w:t>Le débiteur qui entend se plaindre d'une saisie prétendument contraire aux art. 92 et 93 LP doit s'adresser à l'autorité de surveillance dans les dix jours dès la communication du procès-verbal de saisie (art. 17 al. 2 LP; RO 79 III 65; cf. RO 90 III 101). Il est censé avoir renoncé à se prévaloir de ce moyen s'il n'a pas agi en temps utile. Cependant la jurisprudence a tempéré cette exigence et admis, pour des raisons d'humanité et de décence, que la nullité d'une saisie fût prononcée, malgré la tardiveté de la plainte, lorsque la mesure attaquée privait le débiteur et les membres de sa famille des objets indispensables au vivre et au coucher. L'exception ainsi faite à la règle a été étendue aux cas où la saisie porte une atteinte flagrante au minimum vital, à telle enseigne que son maintien risquerait de placer le débiteur dans une situation absolument intolérable (RO 71 III 148, 75 III 5 consid. 1, 76 III 34, 80 III 24/25, 84 III 36 s. consid. 5). D'autre part, que le délai de plainte ait été observé ou non, la tardiveté du recours prévu à l'art. 19 LP n'empêche pas le Tribunal fédéral d'examiner si la saisie est entachée de nullité. Certes le Tribunal fédéral ne peut révoquer des décisions nulles d'un office des poursuites ou des faillites en dehors d'une procédure de recours. Mais il doit le faire dès l'instant où il est saisi d'un recours, ce dernier fût-il irrecevable (RO 94 III 69/70). En l'espèce, le débiteur est l'employé de son épouse qui lui verse un salaire mensuel de 1000 fr. et dont la contribution aux charges du ménage s'élève à 400 fr. par mois. Il reçoit en outre une indemnité de 500 fr. par mois qui sert exclusivement, à ce qu'il prétend, à couvrir ses frais professionnels. Si cela est exact, il est évident qu'une retenue de 400 fr. par mois sur son salaire ne lui laisserait pas de quoi assurer son existence et celle de sa famille. Il ne disposerait plus que de 1000 fr. par mois, montant nettement inférieur au minimum vital que l'Office des poursuites de Lucerne a fixé à 1439 fr. par mois. Il serait ainsi placé dans une situation absolument intolérable. Il est vrai que l'autorité cantonale a estimé que l'indemnité de 500 fr. devait être ajoutée au salaire du débiteur, parce que celui-ci n'avait pas tenté de prouver l'importance de ses dépenses professionnelles. Cependant, du moment qu'elle avait des doutes sur ce point, elle aurait dû l'inviter à produire les pièces et à fournir les renseignements propres à établir son activité exacte et les frais qui en découlent. Les autorités de poursuite sont en BGE 97 III 7 S. 12 effet tenues de procéder d'office aux investigations nécessaires pour déterminer la part saisissable du salaire du débiteur (RO 81 III 149 et 152, 87 III 104). L'autorité cantonale aurait dû également examiner si le loyer de 165 fr. par mois que le débiteur paie pour un appartement à Fribourg pouvait être compris dans le minimum vital. L'Office des poursuites de Lucerne avait expressément laissé cette question indécise. Enfin il n'est pas exclu que, suivant l'importance des gains de l'épouse, la contribution de celle-ci aux charges du ménage doive être fixée à un montant supérieur à 400 fr. par mois (cf. RO 94 III 8). Cela étant, il convient d'annuler d'office la décision de l'autorité cantonale et de lui renvoyer l'affaire pour qu'elle statue à nouveau après avoir complété ses constatations de fait au sujet notamment des frais professionnels du débiteur et de la situation économique de son épouse.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